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C4A52" w14:textId="57C871AF" w:rsidR="008005B1" w:rsidRPr="008005B1" w:rsidRDefault="00B22FCF" w:rsidP="00131904">
      <w:pPr>
        <w:spacing w:after="0" w:line="240" w:lineRule="auto"/>
        <w:jc w:val="center"/>
        <w:rPr>
          <w:rFonts w:cstheme="minorHAnsi"/>
          <w:i/>
          <w:color w:val="000000" w:themeColor="text1"/>
        </w:rPr>
      </w:pPr>
      <w:bookmarkStart w:id="0" w:name="_GoBack"/>
      <w:bookmarkEnd w:id="0"/>
      <w:r w:rsidRPr="00796A1F"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39929896" wp14:editId="47F472A1">
            <wp:simplePos x="0" y="0"/>
            <wp:positionH relativeFrom="margin">
              <wp:posOffset>-732892</wp:posOffset>
            </wp:positionH>
            <wp:positionV relativeFrom="page">
              <wp:posOffset>13970</wp:posOffset>
            </wp:positionV>
            <wp:extent cx="8229600" cy="24879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0x600_21DayChalleng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E1320" w14:textId="77777777" w:rsidR="00156325" w:rsidRDefault="00156325" w:rsidP="00156325">
      <w:r>
        <w:t>COMPANY NAME team,</w:t>
      </w:r>
    </w:p>
    <w:p w14:paraId="01D083DA" w14:textId="77777777" w:rsidR="00156325" w:rsidRDefault="00156325" w:rsidP="00156325"/>
    <w:p w14:paraId="375EF1C7" w14:textId="2E71E697" w:rsidR="00156325" w:rsidRDefault="00156325" w:rsidP="00156325">
      <w:r>
        <w:t xml:space="preserve">By now you may have heard that thousands of </w:t>
      </w:r>
      <w:r w:rsidR="00CA261C">
        <w:t>individuals and</w:t>
      </w:r>
      <w:r>
        <w:t xml:space="preserve"> hundreds of local organizations have joined together to take </w:t>
      </w:r>
      <w:r w:rsidR="00C12865">
        <w:t>a community-wide</w:t>
      </w:r>
      <w:r>
        <w:t xml:space="preserve"> 21-Day Racial Equity Challenge. The Challenge is a powerful opportunity to collectively develop a deeper understanding of how inequity and racism affect our lives and community. COMPANY NAME is dedicated to learning and </w:t>
      </w:r>
      <w:r w:rsidR="00BB2DBE">
        <w:t xml:space="preserve">taking action </w:t>
      </w:r>
      <w:r>
        <w:t xml:space="preserve">to create </w:t>
      </w:r>
      <w:r w:rsidR="00BB2DBE">
        <w:t xml:space="preserve">an equitable </w:t>
      </w:r>
      <w:r>
        <w:t xml:space="preserve">community for all, and </w:t>
      </w:r>
      <w:r w:rsidR="00BB2DBE">
        <w:t>has chosen to participate</w:t>
      </w:r>
      <w:r>
        <w:t xml:space="preserve"> in the 21-Day Racial Equity Challenge. </w:t>
      </w:r>
    </w:p>
    <w:p w14:paraId="506E1FE2" w14:textId="77777777" w:rsidR="00156325" w:rsidRDefault="00156325" w:rsidP="00156325"/>
    <w:p w14:paraId="2BCA019C" w14:textId="77777777" w:rsidR="00156325" w:rsidRDefault="00156325" w:rsidP="00156325">
      <w:pPr>
        <w:rPr>
          <w:b/>
          <w:bCs/>
        </w:rPr>
      </w:pPr>
      <w:r>
        <w:rPr>
          <w:b/>
          <w:bCs/>
        </w:rPr>
        <w:t>WHAT THIS MEANS FOR YOU</w:t>
      </w:r>
    </w:p>
    <w:p w14:paraId="7FAC95B6" w14:textId="77777777" w:rsidR="00156325" w:rsidRDefault="00156325" w:rsidP="00156325">
      <w:r>
        <w:rPr>
          <w:highlight w:val="yellow"/>
        </w:rPr>
        <w:t>Option 1</w:t>
      </w:r>
      <w:r>
        <w:t xml:space="preserve"> </w:t>
      </w:r>
    </w:p>
    <w:p w14:paraId="1AF8515E" w14:textId="465F142D" w:rsidR="00156325" w:rsidRDefault="00156325" w:rsidP="00156325">
      <w:r>
        <w:t xml:space="preserve">Each weekday from October 23 – November 20 you will receive an email from </w:t>
      </w:r>
      <w:hyperlink r:id="rId6" w:history="1">
        <w:r>
          <w:rPr>
            <w:rStyle w:val="Hyperlink"/>
          </w:rPr>
          <w:t>info@ROCequitychallenge.org</w:t>
        </w:r>
      </w:hyperlink>
      <w:r>
        <w:t xml:space="preserve"> with articles, podcasts and videos to learn about racism and equity, suggestions for reflection and options to continue your learning or take action. Our company will also offer </w:t>
      </w:r>
      <w:r w:rsidRPr="00CA261C">
        <w:rPr>
          <w:b/>
        </w:rPr>
        <w:t>[</w:t>
      </w:r>
      <w:r>
        <w:t xml:space="preserve">a lunch and learn during the Challenge to allow for employee discussion, </w:t>
      </w:r>
      <w:r w:rsidR="00BB2DBE">
        <w:t>a company town hall/</w:t>
      </w:r>
      <w:r>
        <w:t xml:space="preserve">department meeting time to reflect on your learnings as a team, </w:t>
      </w:r>
      <w:r w:rsidR="00BB2DBE">
        <w:t xml:space="preserve">the opportunity to join an internal team </w:t>
      </w:r>
      <w:r>
        <w:t xml:space="preserve">to </w:t>
      </w:r>
      <w:r w:rsidR="008F3EE3">
        <w:t>begin</w:t>
      </w:r>
      <w:r>
        <w:t xml:space="preserve"> </w:t>
      </w:r>
      <w:r w:rsidR="008F3EE3">
        <w:t xml:space="preserve">/continue reviewing </w:t>
      </w:r>
      <w:r>
        <w:t xml:space="preserve">our organization’s policies and practices to examine how we can </w:t>
      </w:r>
      <w:r w:rsidR="008F3EE3">
        <w:t>ensure equity remains a focus.</w:t>
      </w:r>
      <w:r w:rsidRPr="00CA261C">
        <w:rPr>
          <w:b/>
        </w:rPr>
        <w:t>]</w:t>
      </w:r>
    </w:p>
    <w:p w14:paraId="43564C81" w14:textId="77777777" w:rsidR="00156325" w:rsidRDefault="00156325" w:rsidP="00156325"/>
    <w:p w14:paraId="60C1C408" w14:textId="77777777" w:rsidR="00156325" w:rsidRDefault="00156325" w:rsidP="00156325">
      <w:r>
        <w:rPr>
          <w:highlight w:val="yellow"/>
        </w:rPr>
        <w:t>Option 2</w:t>
      </w:r>
    </w:p>
    <w:p w14:paraId="048A5894" w14:textId="33626C84" w:rsidR="00156325" w:rsidRDefault="00156325" w:rsidP="00156325">
      <w:r>
        <w:t>Each weekday from October 23 – November 20 you will receive an email from EMPLOYEE NAME</w:t>
      </w:r>
      <w:r w:rsidRPr="00156325">
        <w:t xml:space="preserve">, who will forward articles, podcasts and videos from Rochester’s 21-Day Racial Equity Challenge. These emails will </w:t>
      </w:r>
      <w:r w:rsidR="008F3EE3">
        <w:t xml:space="preserve">provide opportunities </w:t>
      </w:r>
      <w:r w:rsidR="00F96F91">
        <w:t xml:space="preserve">for self-guided learning, </w:t>
      </w:r>
      <w:r w:rsidRPr="00156325">
        <w:t xml:space="preserve">offer suggestions for reflection and options to continue your </w:t>
      </w:r>
      <w:r>
        <w:t xml:space="preserve">learning or take action. Our company will also offer </w:t>
      </w:r>
      <w:r w:rsidRPr="00CA261C">
        <w:rPr>
          <w:b/>
        </w:rPr>
        <w:t>[</w:t>
      </w:r>
      <w:r>
        <w:t xml:space="preserve">a lunch and learn during the Challenge to allow for employee discussion, </w:t>
      </w:r>
      <w:r w:rsidR="008F3EE3">
        <w:t>a company town hall/</w:t>
      </w:r>
      <w:r>
        <w:t xml:space="preserve">department meeting time to reflect on your learnings as a team, </w:t>
      </w:r>
      <w:r w:rsidR="008F3EE3">
        <w:t>begin/continue reviewing</w:t>
      </w:r>
      <w:r>
        <w:t xml:space="preserve"> our organization’s policies and practices to examine how we can </w:t>
      </w:r>
      <w:r w:rsidR="008F3EE3">
        <w:t>ensure equity remains a focus.</w:t>
      </w:r>
      <w:r w:rsidR="00CA261C" w:rsidRPr="00CA261C">
        <w:rPr>
          <w:b/>
        </w:rPr>
        <w:t>]</w:t>
      </w:r>
    </w:p>
    <w:p w14:paraId="4A74C7EF" w14:textId="77777777" w:rsidR="00156325" w:rsidRDefault="00156325" w:rsidP="00156325"/>
    <w:p w14:paraId="7D26EF11" w14:textId="77777777" w:rsidR="00156325" w:rsidRDefault="00156325" w:rsidP="00156325">
      <w:r>
        <w:rPr>
          <w:highlight w:val="yellow"/>
        </w:rPr>
        <w:t>Option 3</w:t>
      </w:r>
    </w:p>
    <w:p w14:paraId="59AE57CF" w14:textId="600073AE" w:rsidR="00156325" w:rsidRDefault="00156325" w:rsidP="00156325">
      <w:r>
        <w:t xml:space="preserve">We encourage you to visit </w:t>
      </w:r>
      <w:hyperlink r:id="rId7" w:history="1">
        <w:r>
          <w:rPr>
            <w:rStyle w:val="Hyperlink"/>
          </w:rPr>
          <w:t>www.ROCequitychallenge.org</w:t>
        </w:r>
      </w:hyperlink>
      <w:r>
        <w:t xml:space="preserve"> to sign up for the </w:t>
      </w:r>
      <w:r w:rsidRPr="00156325">
        <w:t xml:space="preserve">Challenge. After you sign up, each weekday </w:t>
      </w:r>
      <w:r>
        <w:t xml:space="preserve">from October 23 – </w:t>
      </w:r>
      <w:r w:rsidRPr="00156325">
        <w:t xml:space="preserve">November 20, you will </w:t>
      </w:r>
      <w:r>
        <w:t xml:space="preserve">receive an email from </w:t>
      </w:r>
      <w:hyperlink r:id="rId8" w:history="1">
        <w:r>
          <w:rPr>
            <w:rStyle w:val="Hyperlink"/>
          </w:rPr>
          <w:t>info@ROCequitychallenge.org</w:t>
        </w:r>
      </w:hyperlink>
      <w:r>
        <w:t xml:space="preserve"> with articles, podcasts </w:t>
      </w:r>
      <w:r>
        <w:lastRenderedPageBreak/>
        <w:t xml:space="preserve">and </w:t>
      </w:r>
      <w:r w:rsidRPr="00156325">
        <w:t xml:space="preserve">videos that will </w:t>
      </w:r>
      <w:r w:rsidR="001B71E5">
        <w:t xml:space="preserve">provide opportunities to develop a deeper understanding of how racism and inequity affect our lives and community , </w:t>
      </w:r>
      <w:r w:rsidRPr="00156325">
        <w:t xml:space="preserve">offer suggestions for </w:t>
      </w:r>
      <w:r>
        <w:t xml:space="preserve">reflection and options to continue your learning or take action. Our company will also offer </w:t>
      </w:r>
      <w:r w:rsidRPr="00CA261C">
        <w:rPr>
          <w:b/>
        </w:rPr>
        <w:t>[</w:t>
      </w:r>
      <w:r>
        <w:t xml:space="preserve">a lunch and learn during the Challenge to allow for employee discussion, </w:t>
      </w:r>
      <w:r w:rsidR="001B71E5">
        <w:t>a company town hall/</w:t>
      </w:r>
      <w:r>
        <w:t xml:space="preserve">department meeting time to reflect on your learnings as a team, </w:t>
      </w:r>
      <w:r w:rsidR="001B71E5">
        <w:t>begin/continue reviewing</w:t>
      </w:r>
      <w:r>
        <w:t xml:space="preserve"> our organization’s policies and practices to examine how we can</w:t>
      </w:r>
      <w:r w:rsidR="001B71E5">
        <w:t xml:space="preserve"> ensure equity remains a focus.</w:t>
      </w:r>
      <w:r w:rsidRPr="00CA261C">
        <w:rPr>
          <w:b/>
        </w:rPr>
        <w:t>]</w:t>
      </w:r>
    </w:p>
    <w:p w14:paraId="106B8B20" w14:textId="77777777" w:rsidR="00156325" w:rsidRDefault="00156325" w:rsidP="00156325"/>
    <w:p w14:paraId="08C505D2" w14:textId="135CBAE0" w:rsidR="00156325" w:rsidRDefault="00156325" w:rsidP="00156325">
      <w:r>
        <w:t xml:space="preserve">Thank you for standing with COMPANY NAME to confront racism, bias and other social injustices to create a just </w:t>
      </w:r>
      <w:r w:rsidR="001B71E5">
        <w:t xml:space="preserve">and </w:t>
      </w:r>
      <w:r>
        <w:t xml:space="preserve">equitable community for all. </w:t>
      </w:r>
    </w:p>
    <w:p w14:paraId="72BBF810" w14:textId="77777777" w:rsidR="008005B1" w:rsidRDefault="008005B1" w:rsidP="00131904">
      <w:pPr>
        <w:spacing w:after="0" w:line="240" w:lineRule="auto"/>
        <w:rPr>
          <w:rFonts w:cstheme="minorHAnsi"/>
          <w:b/>
          <w:color w:val="000000" w:themeColor="text1"/>
        </w:rPr>
      </w:pPr>
    </w:p>
    <w:sectPr w:rsidR="008005B1" w:rsidSect="00B22FC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6501A"/>
    <w:multiLevelType w:val="hybridMultilevel"/>
    <w:tmpl w:val="0DB88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E325F"/>
    <w:multiLevelType w:val="hybridMultilevel"/>
    <w:tmpl w:val="2B10499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A30646D"/>
    <w:multiLevelType w:val="hybridMultilevel"/>
    <w:tmpl w:val="10943F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411604E"/>
    <w:multiLevelType w:val="hybridMultilevel"/>
    <w:tmpl w:val="A9BAB7D6"/>
    <w:lvl w:ilvl="0" w:tplc="3F04E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EB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29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62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8C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20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0C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E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A1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F16CF2"/>
    <w:multiLevelType w:val="hybridMultilevel"/>
    <w:tmpl w:val="8F02D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79"/>
    <w:rsid w:val="000339D9"/>
    <w:rsid w:val="0007256C"/>
    <w:rsid w:val="00097564"/>
    <w:rsid w:val="000E60DA"/>
    <w:rsid w:val="00131904"/>
    <w:rsid w:val="00156325"/>
    <w:rsid w:val="001B71E5"/>
    <w:rsid w:val="001E1E8B"/>
    <w:rsid w:val="001F324E"/>
    <w:rsid w:val="002646BC"/>
    <w:rsid w:val="003273D6"/>
    <w:rsid w:val="003B293D"/>
    <w:rsid w:val="003C7672"/>
    <w:rsid w:val="003E41CD"/>
    <w:rsid w:val="0042004A"/>
    <w:rsid w:val="004221CC"/>
    <w:rsid w:val="0042238B"/>
    <w:rsid w:val="00452D04"/>
    <w:rsid w:val="004818BB"/>
    <w:rsid w:val="004933DB"/>
    <w:rsid w:val="0053405F"/>
    <w:rsid w:val="00572188"/>
    <w:rsid w:val="006B4A5D"/>
    <w:rsid w:val="006C585A"/>
    <w:rsid w:val="00713F48"/>
    <w:rsid w:val="00771BB7"/>
    <w:rsid w:val="008005B1"/>
    <w:rsid w:val="0085127A"/>
    <w:rsid w:val="00870432"/>
    <w:rsid w:val="00890BFE"/>
    <w:rsid w:val="008F3EE3"/>
    <w:rsid w:val="00A87B75"/>
    <w:rsid w:val="00B028AA"/>
    <w:rsid w:val="00B22FCF"/>
    <w:rsid w:val="00BB2DBE"/>
    <w:rsid w:val="00BE2892"/>
    <w:rsid w:val="00BF08CC"/>
    <w:rsid w:val="00C12865"/>
    <w:rsid w:val="00C94DC1"/>
    <w:rsid w:val="00CA261C"/>
    <w:rsid w:val="00CC6D3E"/>
    <w:rsid w:val="00D44C2A"/>
    <w:rsid w:val="00E65A7C"/>
    <w:rsid w:val="00E74E48"/>
    <w:rsid w:val="00E869C6"/>
    <w:rsid w:val="00EA27FF"/>
    <w:rsid w:val="00EA2D79"/>
    <w:rsid w:val="00EF335C"/>
    <w:rsid w:val="00F02032"/>
    <w:rsid w:val="00F1224B"/>
    <w:rsid w:val="00F96F91"/>
    <w:rsid w:val="00FB5132"/>
    <w:rsid w:val="00FC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79E18"/>
  <w15:chartTrackingRefBased/>
  <w15:docId w15:val="{D0F63429-C791-485F-82BB-10376D95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56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5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33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2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8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Cequitychalleng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Cequitychallen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Cequitychalleng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Greater Rochester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Yversha Roman</dc:creator>
  <cp:keywords/>
  <dc:description/>
  <cp:lastModifiedBy>Michelle Kraft</cp:lastModifiedBy>
  <cp:revision>2</cp:revision>
  <dcterms:created xsi:type="dcterms:W3CDTF">2020-10-19T18:24:00Z</dcterms:created>
  <dcterms:modified xsi:type="dcterms:W3CDTF">2020-10-19T18:24:00Z</dcterms:modified>
</cp:coreProperties>
</file>